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1985"/>
        <w:gridCol w:w="283"/>
        <w:gridCol w:w="1959"/>
        <w:gridCol w:w="1437"/>
        <w:gridCol w:w="1091"/>
        <w:gridCol w:w="2743"/>
        <w:gridCol w:w="248"/>
      </w:tblGrid>
      <w:tr w:rsidR="00F65A9F" w:rsidRPr="00F65A9F" w:rsidTr="00F65A9F">
        <w:trPr>
          <w:trHeight w:val="255"/>
        </w:trPr>
        <w:tc>
          <w:tcPr>
            <w:tcW w:w="1134" w:type="dxa"/>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Level</w:t>
            </w:r>
          </w:p>
        </w:tc>
        <w:tc>
          <w:tcPr>
            <w:tcW w:w="1985" w:type="dxa"/>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3396" w:type="dxa"/>
            <w:gridSpan w:val="2"/>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Kabupaten Sarmi</w:t>
            </w:r>
          </w:p>
        </w:tc>
        <w:tc>
          <w:tcPr>
            <w:tcW w:w="1091" w:type="dxa"/>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2743" w:type="dxa"/>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248" w:type="dxa"/>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255"/>
        </w:trPr>
        <w:tc>
          <w:tcPr>
            <w:tcW w:w="3119" w:type="dxa"/>
            <w:gridSpan w:val="2"/>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Komponen</w:t>
            </w:r>
          </w:p>
        </w:tc>
        <w:tc>
          <w:tcPr>
            <w:tcW w:w="283" w:type="dxa"/>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3396" w:type="dxa"/>
            <w:gridSpan w:val="2"/>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Implementasi Kinerja</w:t>
            </w:r>
          </w:p>
        </w:tc>
        <w:tc>
          <w:tcPr>
            <w:tcW w:w="1091" w:type="dxa"/>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2743" w:type="dxa"/>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248" w:type="dxa"/>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255"/>
        </w:trPr>
        <w:tc>
          <w:tcPr>
            <w:tcW w:w="1134" w:type="dxa"/>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985" w:type="dxa"/>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283" w:type="dxa"/>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959" w:type="dxa"/>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37" w:type="dxa"/>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91" w:type="dxa"/>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2743" w:type="dxa"/>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248" w:type="dxa"/>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255"/>
        </w:trPr>
        <w:tc>
          <w:tcPr>
            <w:tcW w:w="3402" w:type="dxa"/>
            <w:gridSpan w:val="3"/>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Isu dalam PGA REDD+</w:t>
            </w:r>
          </w:p>
        </w:tc>
        <w:tc>
          <w:tcPr>
            <w:tcW w:w="7230" w:type="dxa"/>
            <w:gridSpan w:val="4"/>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3119" w:type="dxa"/>
            <w:gridSpan w:val="2"/>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283" w:type="dxa"/>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7478" w:type="dxa"/>
            <w:gridSpan w:val="5"/>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a. Tingkat penerimaan (legitimasi) atas dokumen RTRWP/RTRWK/Kehutanan</w:t>
            </w:r>
          </w:p>
        </w:tc>
      </w:tr>
      <w:tr w:rsidR="00F65A9F" w:rsidRPr="00F65A9F" w:rsidTr="00F65A9F">
        <w:trPr>
          <w:trHeight w:val="300"/>
        </w:trPr>
        <w:tc>
          <w:tcPr>
            <w:tcW w:w="3119" w:type="dxa"/>
            <w:gridSpan w:val="2"/>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414"/>
        <w:gridCol w:w="1829"/>
        <w:gridCol w:w="1106"/>
        <w:gridCol w:w="1794"/>
        <w:gridCol w:w="1065"/>
        <w:gridCol w:w="1581"/>
        <w:gridCol w:w="1382"/>
      </w:tblGrid>
      <w:tr w:rsidR="00F65A9F" w:rsidRPr="00F65A9F" w:rsidTr="00F65A9F">
        <w:trPr>
          <w:trHeight w:val="61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4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FIa1</w:t>
            </w:r>
          </w:p>
        </w:tc>
        <w:tc>
          <w:tcPr>
            <w:tcW w:w="1414" w:type="dxa"/>
            <w:vMerge w:val="restart"/>
            <w:tcBorders>
              <w:top w:val="nil"/>
              <w:left w:val="single" w:sz="4" w:space="0" w:color="auto"/>
              <w:bottom w:val="single" w:sz="4" w:space="0" w:color="000000"/>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Bagaimana (tingkat) penerimaan (legitimasi) </w:t>
            </w:r>
            <w:r w:rsidRPr="00F65A9F">
              <w:rPr>
                <w:rFonts w:ascii="Times New Roman" w:eastAsia="Times New Roman" w:hAnsi="Times New Roman" w:cs="Times New Roman"/>
                <w:i/>
                <w:iCs/>
                <w:color w:val="000000"/>
                <w:sz w:val="20"/>
                <w:szCs w:val="20"/>
                <w:lang w:eastAsia="id-ID"/>
              </w:rPr>
              <w:t xml:space="preserve">stakeholder </w:t>
            </w:r>
            <w:r w:rsidRPr="00F65A9F">
              <w:rPr>
                <w:rFonts w:ascii="Times New Roman" w:eastAsia="Times New Roman" w:hAnsi="Times New Roman" w:cs="Times New Roman"/>
                <w:color w:val="000000"/>
                <w:sz w:val="20"/>
                <w:szCs w:val="20"/>
                <w:lang w:eastAsia="id-ID"/>
              </w:rPr>
              <w:t>atas dokumen RTRWP/RTRWK/Kehutanan?</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belum ada  penetapan RTRWP/RTRWK di Kabupaten Sarmi, masih dalam proses pembuatan oleh bappeda dengan memperhatikan kawasan Hutan.</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2</w:t>
            </w:r>
          </w:p>
        </w:tc>
      </w:tr>
      <w:tr w:rsidR="00F65A9F" w:rsidRPr="00F65A9F" w:rsidTr="00F65A9F">
        <w:trPr>
          <w:trHeight w:val="229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PU</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pilihan dalam Kategori Data, Karena RTRWP/RTRWK/Kehutanan baru dirancang dan dibuat oleh BAPPEDA  dan disetujui oleh DPRD Sarmi  setelah itu disosialisasikan sejauh mana stakeholder dan masyarakat menerima.</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LSM</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2963" w:type="dxa"/>
            <w:gridSpan w:val="2"/>
            <w:tcBorders>
              <w:top w:val="single" w:sz="4" w:space="0" w:color="auto"/>
              <w:left w:val="single" w:sz="4" w:space="0" w:color="auto"/>
              <w:bottom w:val="single" w:sz="4" w:space="0" w:color="auto"/>
              <w:right w:val="single" w:sz="4" w:space="0" w:color="000000"/>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            Tidak ada LSM di Kabupaten Sarmi</w:t>
            </w:r>
          </w:p>
        </w:tc>
      </w:tr>
      <w:tr w:rsidR="00F65A9F" w:rsidRPr="00F65A9F" w:rsidTr="00F65A9F">
        <w:trPr>
          <w:trHeight w:val="1530"/>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Catatan :</w:t>
            </w:r>
            <w:r w:rsidRPr="00F65A9F">
              <w:rPr>
                <w:rFonts w:ascii="Times New Roman" w:eastAsia="Times New Roman" w:hAnsi="Times New Roman" w:cs="Times New Roman"/>
                <w:color w:val="000000"/>
                <w:sz w:val="20"/>
                <w:szCs w:val="20"/>
                <w:lang w:eastAsia="id-ID"/>
              </w:rPr>
              <w:t xml:space="preserve"> Informan tidak memilih dalam kategori data karena belum ada informasi maupun sosialisasi  mengenai dokumen RTRWP/RTRWK/Kehutanan kepada masyarakat adat</w:t>
            </w:r>
          </w:p>
        </w:tc>
        <w:tc>
          <w:tcPr>
            <w:tcW w:w="1382" w:type="dxa"/>
            <w:tcBorders>
              <w:top w:val="nil"/>
              <w:left w:val="single" w:sz="4" w:space="0" w:color="auto"/>
              <w:bottom w:val="nil"/>
              <w:right w:val="single" w:sz="4" w:space="0" w:color="auto"/>
            </w:tcBorders>
            <w:shd w:val="clear" w:color="000000" w:fill="FFFF00"/>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510"/>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Asosiasi Pengusaha</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2963" w:type="dxa"/>
            <w:gridSpan w:val="2"/>
            <w:tcBorders>
              <w:top w:val="single" w:sz="4" w:space="0" w:color="auto"/>
              <w:left w:val="nil"/>
              <w:bottom w:val="single" w:sz="4" w:space="0" w:color="auto"/>
              <w:right w:val="single" w:sz="4" w:space="0" w:color="000000"/>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asosiasi pengusaha di kabupaten Sarmi</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Akademisi</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2963" w:type="dxa"/>
            <w:gridSpan w:val="2"/>
            <w:tcBorders>
              <w:top w:val="single" w:sz="4" w:space="0" w:color="auto"/>
              <w:left w:val="nil"/>
              <w:bottom w:val="single" w:sz="4" w:space="0" w:color="auto"/>
              <w:right w:val="single" w:sz="4" w:space="0" w:color="000000"/>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akademisi di kabupaten Sarmi</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b. Jumlah luas  kawasan hutan yang dikukuhkan dan diterima oleh para </w:t>
            </w:r>
            <w:r w:rsidRPr="00F65A9F">
              <w:rPr>
                <w:rFonts w:ascii="Times New Roman" w:eastAsia="Times New Roman" w:hAnsi="Times New Roman" w:cs="Times New Roman"/>
                <w:b/>
                <w:bCs/>
                <w:color w:val="000000"/>
                <w:sz w:val="20"/>
                <w:szCs w:val="20"/>
                <w:lang w:eastAsia="id-ID"/>
              </w:rPr>
              <w:lastRenderedPageBreak/>
              <w:t>pihak</w:t>
            </w:r>
          </w:p>
        </w:tc>
      </w:tr>
      <w:tr w:rsidR="00F65A9F" w:rsidRPr="00F65A9F" w:rsidTr="00F65A9F">
        <w:trPr>
          <w:trHeight w:val="885"/>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lastRenderedPageBreak/>
              <w:t>Wawancara – Sumber informasi</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F65A9F" w:rsidRPr="00F65A9F" w:rsidTr="00F65A9F">
        <w:trPr>
          <w:trHeight w:val="69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510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FIb1</w:t>
            </w:r>
          </w:p>
        </w:tc>
        <w:tc>
          <w:tcPr>
            <w:tcW w:w="1414"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Jumlah luas kawasan hutan yang dikukuhkan dan dite-rima oleh para pihak</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terkait Penerimaan para pihak terhadap jumlah luas kawasan hutan yang telah dikukuhkan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sejauh ini belum ada pihak yang mempertanyakan mengenai luas kawasan hutan, oleh dinas kehutanan sudah membagi peruntukan kawasan hutan dengan rincian:    - Hutan Suaka Alam (KSA), seluas 267.184 Hektar</w:t>
            </w:r>
            <w:r w:rsidRPr="00F65A9F">
              <w:rPr>
                <w:rFonts w:ascii="Times New Roman" w:eastAsia="Times New Roman" w:hAnsi="Times New Roman" w:cs="Times New Roman"/>
                <w:color w:val="000000"/>
                <w:sz w:val="20"/>
                <w:szCs w:val="20"/>
                <w:lang w:eastAsia="id-ID"/>
              </w:rPr>
              <w:br/>
              <w:t>- Hutan Lindung (HL), seluas 180.333 hektar</w:t>
            </w:r>
            <w:r w:rsidRPr="00F65A9F">
              <w:rPr>
                <w:rFonts w:ascii="Times New Roman" w:eastAsia="Times New Roman" w:hAnsi="Times New Roman" w:cs="Times New Roman"/>
                <w:color w:val="000000"/>
                <w:sz w:val="20"/>
                <w:szCs w:val="20"/>
                <w:lang w:eastAsia="id-ID"/>
              </w:rPr>
              <w:br/>
              <w:t>- Hutan Produksi Terbatas (HPT), seluas 269.567 hektar</w:t>
            </w:r>
            <w:r w:rsidRPr="00F65A9F">
              <w:rPr>
                <w:rFonts w:ascii="Times New Roman" w:eastAsia="Times New Roman" w:hAnsi="Times New Roman" w:cs="Times New Roman"/>
                <w:color w:val="000000"/>
                <w:sz w:val="20"/>
                <w:szCs w:val="20"/>
                <w:lang w:eastAsia="id-ID"/>
              </w:rPr>
              <w:br/>
              <w:t>- Hutan Produksi (HP), seluas 378.464 Hektar</w:t>
            </w:r>
            <w:r w:rsidRPr="00F65A9F">
              <w:rPr>
                <w:rFonts w:ascii="Times New Roman" w:eastAsia="Times New Roman" w:hAnsi="Times New Roman" w:cs="Times New Roman"/>
                <w:color w:val="000000"/>
                <w:sz w:val="20"/>
                <w:szCs w:val="20"/>
                <w:lang w:eastAsia="id-ID"/>
              </w:rPr>
              <w:br/>
              <w:t>- Hutan Produksi dikonversi (HPK), seluas 304.696 Hektar</w:t>
            </w:r>
            <w:r w:rsidRPr="00F65A9F">
              <w:rPr>
                <w:rFonts w:ascii="Times New Roman" w:eastAsia="Times New Roman" w:hAnsi="Times New Roman" w:cs="Times New Roman"/>
                <w:color w:val="000000"/>
                <w:sz w:val="20"/>
                <w:szCs w:val="20"/>
                <w:lang w:eastAsia="id-ID"/>
              </w:rPr>
              <w:br/>
              <w:t>- Areal Penggunaan lain (APL), seluas 19.069 Hektar</w:t>
            </w:r>
            <w:r w:rsidRPr="00F65A9F">
              <w:rPr>
                <w:rFonts w:ascii="Times New Roman" w:eastAsia="Times New Roman" w:hAnsi="Times New Roman" w:cs="Times New Roman"/>
                <w:color w:val="000000"/>
                <w:sz w:val="20"/>
                <w:szCs w:val="20"/>
                <w:lang w:eastAsia="id-ID"/>
              </w:rPr>
              <w:br/>
              <w:t xml:space="preserve">- Tubuh Air, seluas 14.381 Hektar </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2</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LSM</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199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terkait Penerimaan para pihak terhadap jumlah luas kawasan hutan yang telah dikukuhkan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Hal ini terkait dengan adanya kawasan yang diklaim lebih dari satu masyarakat adat tentang hutan ulayat, jadi belum jelas mengenai pengukuhan kawasan hutan</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2</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Akademisi</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akademisi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945"/>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Wawancara – Sumber informasi</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F65A9F" w:rsidRPr="00F65A9F" w:rsidTr="00F65A9F">
        <w:trPr>
          <w:trHeight w:val="49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204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FIc1</w:t>
            </w:r>
          </w:p>
        </w:tc>
        <w:tc>
          <w:tcPr>
            <w:tcW w:w="1414"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terkait jumlah tata ruang kelola masyarakat adat/lokal yang terakomodir dalam tata ruang propinsi dan/atau kabupaten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belum ada kesepakatan antara batas tata ruang kelola antara pemerintah dan masyarakat adat. Dan juga masyarakat yang merasa memiliki hutan ulayat, jadi mereka berhak mengelola walaupun hanya sebatas berkebun atau mengambil kayu.</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LSM</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127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terkait jumlah tata ruang kelola masyarakat adat/lokal yang terakomodir dalam tata ruang propinsi dan/atau kabupaten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jelas batas mengelola mengenai tata ruang apalagi masuk dalam wilayah hak ulayat</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Akademisi</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akademisi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F65A9F" w:rsidRPr="00F65A9F" w:rsidTr="00F65A9F">
        <w:trPr>
          <w:trHeight w:val="9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Wawancara – Sumber informasi</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F65A9F" w:rsidRPr="00F65A9F" w:rsidTr="00F65A9F">
        <w:trPr>
          <w:trHeight w:val="61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530"/>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F65A9F" w:rsidRPr="00F65A9F" w:rsidRDefault="00F65A9F" w:rsidP="00F65A9F">
            <w:pPr>
              <w:spacing w:after="0" w:line="240" w:lineRule="auto"/>
              <w:jc w:val="center"/>
              <w:rPr>
                <w:rFonts w:ascii="Times New Roman" w:eastAsia="Times New Roman" w:hAnsi="Times New Roman" w:cs="Times New Roman"/>
                <w:color w:val="FFFF00"/>
                <w:sz w:val="20"/>
                <w:szCs w:val="20"/>
                <w:lang w:eastAsia="id-ID"/>
              </w:rPr>
            </w:pPr>
            <w:r w:rsidRPr="00F65A9F">
              <w:rPr>
                <w:rFonts w:ascii="Times New Roman" w:eastAsia="Times New Roman" w:hAnsi="Times New Roman" w:cs="Times New Roman"/>
                <w:color w:val="FFFF00"/>
                <w:sz w:val="20"/>
                <w:szCs w:val="20"/>
                <w:lang w:eastAsia="id-ID"/>
              </w:rPr>
              <w:lastRenderedPageBreak/>
              <w:t> </w:t>
            </w:r>
          </w:p>
        </w:tc>
        <w:tc>
          <w:tcPr>
            <w:tcW w:w="1414"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terkait jumlah konflik penguasaan kawasan yang dapat difasilitasi penyelesaiannya dalam setiap tahun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biasanya hanya yang berkonflik itu oleh masyarakat adat sendiri mengenai kawasan adat. Dan mereka menyelesaikannya secara adat difasilitasi oleh kepala kampung</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3</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FFFF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LSM</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127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FFFF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terkait jumlah konflik penguasaan kawasan yang dapat difasilitasi penyelesaiannya dalam setiap tahun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Diselesaikan dengan pembayaran kompensasi kepada pemilik hak ulayat atau dengan cara penyelesaian hukum adat</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2</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FFFF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Akademisi</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akademisi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FId1</w:t>
            </w:r>
          </w:p>
        </w:tc>
        <w:tc>
          <w:tcPr>
            <w:tcW w:w="1414"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Hasil mediasi bisa diterima oleh semua pihak dan dijalankan secara konsisten</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terkait hasil mediasi yang diterima oleh semua pihak dan dijalankan secara konsisten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dinas kehutanan hanya membantu dalam memfasilitasi ketika ada konflik dan yang menyeselaikannya oleh masyarakat adat sendiri atau dengan pihak yang terkait</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2</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LSM</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229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terkait hasil mediasi yang diterima oleh semua pihak dan dijalankan secara konsisten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Cukup diterima dalam artian pemilik hak ulayat yang bersengketa harus menceritakan mengenai riwayat kepemilikannya secara kronologis dan lisan mengenai awal kepemilikan, walaupun itu pasti ada konpensasi pembayaran ganti rugi</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3</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Akademisi</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akademisi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255"/>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Isu dalam PGA REDD+</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2900"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II. Pengaturan Hak  </w:t>
            </w:r>
          </w:p>
        </w:tc>
        <w:tc>
          <w:tcPr>
            <w:tcW w:w="1065"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1581"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p>
        </w:tc>
      </w:tr>
      <w:tr w:rsidR="00F65A9F" w:rsidRPr="00F65A9F" w:rsidTr="00F65A9F">
        <w:trPr>
          <w:trHeight w:val="66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F65A9F">
              <w:rPr>
                <w:rFonts w:ascii="Times New Roman" w:eastAsia="Times New Roman" w:hAnsi="Times New Roman" w:cs="Times New Roman"/>
                <w:b/>
                <w:bCs/>
                <w:color w:val="000000"/>
                <w:sz w:val="20"/>
                <w:szCs w:val="20"/>
                <w:lang w:eastAsia="id-ID"/>
              </w:rPr>
              <w:br/>
              <w:t xml:space="preserve">   masyarakat dan bisnis di Kementerian/SKPD </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 Kementerian/Dinas Kehutanan (Unit Pemberi Izin)</w:t>
            </w:r>
          </w:p>
        </w:tc>
      </w:tr>
      <w:tr w:rsidR="00F65A9F" w:rsidRPr="00F65A9F" w:rsidTr="00F65A9F">
        <w:trPr>
          <w:trHeight w:val="58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FIIa1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829"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6100"/>
                <w:sz w:val="20"/>
                <w:szCs w:val="20"/>
                <w:lang w:eastAsia="id-ID"/>
              </w:rPr>
            </w:pPr>
            <w:r w:rsidRPr="00F65A9F">
              <w:rPr>
                <w:rFonts w:ascii="Times New Roman" w:eastAsia="Times New Roman" w:hAnsi="Times New Roman" w:cs="Times New Roman"/>
                <w:color w:val="0061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Tidak ada dokumen </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1</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66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F65A9F">
              <w:rPr>
                <w:rFonts w:ascii="Times New Roman" w:eastAsia="Times New Roman" w:hAnsi="Times New Roman" w:cs="Times New Roman"/>
                <w:b/>
                <w:bCs/>
                <w:color w:val="000000"/>
                <w:sz w:val="20"/>
                <w:szCs w:val="20"/>
                <w:lang w:eastAsia="id-ID"/>
              </w:rPr>
              <w:br/>
              <w:t xml:space="preserve">   masyarakat dan bisnis di Kementerian/SKPD </w:t>
            </w:r>
            <w:r w:rsidRPr="00F65A9F">
              <w:rPr>
                <w:rFonts w:ascii="Times New Roman" w:eastAsia="Times New Roman" w:hAnsi="Times New Roman" w:cs="Times New Roman"/>
                <w:b/>
                <w:bCs/>
                <w:color w:val="000000"/>
                <w:sz w:val="20"/>
                <w:szCs w:val="20"/>
                <w:lang w:eastAsia="id-ID"/>
              </w:rPr>
              <w:br/>
              <w:t xml:space="preserve"> </w:t>
            </w:r>
          </w:p>
        </w:tc>
      </w:tr>
      <w:tr w:rsidR="00F65A9F" w:rsidRPr="00F65A9F" w:rsidTr="00F65A9F">
        <w:trPr>
          <w:trHeight w:val="615"/>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F65A9F">
              <w:rPr>
                <w:rFonts w:ascii="Times New Roman" w:eastAsia="Times New Roman" w:hAnsi="Times New Roman" w:cs="Times New Roman"/>
                <w:b/>
                <w:bCs/>
                <w:color w:val="000000"/>
                <w:sz w:val="20"/>
                <w:szCs w:val="20"/>
                <w:lang w:eastAsia="id-ID"/>
              </w:rPr>
              <w:br/>
              <w:t xml:space="preserve">  Kementerian/Dinas Kehutanan (Unit Pemberi Izin)</w:t>
            </w:r>
          </w:p>
        </w:tc>
      </w:tr>
      <w:tr w:rsidR="00F65A9F" w:rsidRPr="00F65A9F" w:rsidTr="00F65A9F">
        <w:trPr>
          <w:trHeight w:val="67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FIIb1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829"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6100"/>
                <w:sz w:val="20"/>
                <w:szCs w:val="20"/>
                <w:lang w:eastAsia="id-ID"/>
              </w:rPr>
            </w:pPr>
            <w:r w:rsidRPr="00F65A9F">
              <w:rPr>
                <w:rFonts w:ascii="Times New Roman" w:eastAsia="Times New Roman" w:hAnsi="Times New Roman" w:cs="Times New Roman"/>
                <w:color w:val="0061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Tidak ada dokumen </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1</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405"/>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c. Jumlah konflik antar sesama penggunaan kawasan hutan </w:t>
            </w:r>
            <w:r w:rsidRPr="00F65A9F">
              <w:rPr>
                <w:rFonts w:ascii="Times New Roman" w:eastAsia="Times New Roman" w:hAnsi="Times New Roman" w:cs="Times New Roman"/>
                <w:b/>
                <w:bCs/>
                <w:color w:val="000000"/>
                <w:sz w:val="20"/>
                <w:szCs w:val="20"/>
                <w:lang w:eastAsia="id-ID"/>
              </w:rPr>
              <w:br/>
              <w:t xml:space="preserve"> </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F65A9F" w:rsidRPr="00F65A9F" w:rsidTr="00F65A9F">
        <w:trPr>
          <w:trHeight w:val="82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57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FIIc1</w:t>
            </w:r>
          </w:p>
        </w:tc>
        <w:tc>
          <w:tcPr>
            <w:tcW w:w="1414"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Jumlah konflik antar sesama penggunaan kawasan hutan </w:t>
            </w:r>
          </w:p>
        </w:tc>
        <w:tc>
          <w:tcPr>
            <w:tcW w:w="1829" w:type="dxa"/>
            <w:vMerge w:val="restart"/>
            <w:tcBorders>
              <w:top w:val="nil"/>
              <w:left w:val="single" w:sz="4" w:space="0" w:color="auto"/>
              <w:bottom w:val="single" w:sz="4" w:space="0" w:color="000000"/>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6100"/>
                <w:sz w:val="20"/>
                <w:szCs w:val="20"/>
                <w:lang w:eastAsia="id-ID"/>
              </w:rPr>
            </w:pPr>
            <w:r w:rsidRPr="00F65A9F">
              <w:rPr>
                <w:rFonts w:ascii="Times New Roman" w:eastAsia="Times New Roman" w:hAnsi="Times New Roman" w:cs="Times New Roman"/>
                <w:color w:val="0061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Tidak ada dokumen </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1</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480"/>
        </w:trPr>
        <w:tc>
          <w:tcPr>
            <w:tcW w:w="7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61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LSM</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Tidak ada dokumen </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1</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Wawancara - Sumber informasi</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 Pemerintah (Pusat &amp; Daerah), LSM, AMAN</w:t>
            </w:r>
          </w:p>
        </w:tc>
      </w:tr>
      <w:tr w:rsidR="00F65A9F" w:rsidRPr="00F65A9F" w:rsidTr="00F65A9F">
        <w:trPr>
          <w:trHeight w:val="57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lastRenderedPageBreak/>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785"/>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414"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Jumlah praktik terbaik (</w:t>
            </w:r>
            <w:r w:rsidRPr="00F65A9F">
              <w:rPr>
                <w:rFonts w:ascii="Times New Roman" w:eastAsia="Times New Roman" w:hAnsi="Times New Roman" w:cs="Times New Roman"/>
                <w:i/>
                <w:iCs/>
                <w:color w:val="000000"/>
                <w:sz w:val="20"/>
                <w:szCs w:val="20"/>
                <w:lang w:eastAsia="id-ID"/>
              </w:rPr>
              <w:t>best practices</w:t>
            </w:r>
            <w:r w:rsidRPr="00F65A9F">
              <w:rPr>
                <w:rFonts w:ascii="Times New Roman" w:eastAsia="Times New Roman" w:hAnsi="Times New Roman" w:cs="Times New Roman"/>
                <w:color w:val="000000"/>
                <w:sz w:val="20"/>
                <w:szCs w:val="20"/>
                <w:lang w:eastAsia="id-ID"/>
              </w:rPr>
              <w:t>) atas resolusi konflik terkait pengakuan hak masyarakat adat/lokal</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terkait berkaitan jumlah praktik terbaik atas resolusi konflik mengenai penagkuan hak masyarakat adat/lokal</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selama ini, belum ada konflik yang benar-benar meyebabkab pertikaian sampai harus ada resolusi konflik, yang ada biasanya hanya kesalahpahaman mengenai batas hak masyarakat adat/lokal terkait hutan ulayat.</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2</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LSM</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127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terkait berkaitan jumlah praktik terbaik atas resolusi konflik mengenai penagkuan hak masyarakat adat/lokal</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Kurang memadai dalam penyelesaian berkenaan dengan praktik terbaik, namun selalu kalau ada kesalahpahaman diselesaikan secara hukum adat</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2</w:t>
            </w:r>
          </w:p>
        </w:tc>
      </w:tr>
      <w:tr w:rsidR="00F65A9F" w:rsidRPr="00F65A9F" w:rsidTr="00F65A9F">
        <w:trPr>
          <w:trHeight w:val="204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FIId1</w:t>
            </w:r>
          </w:p>
        </w:tc>
        <w:tc>
          <w:tcPr>
            <w:tcW w:w="1414"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Pencegahan kekerasan</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 tidak ada dokumen mengenai resolusi konflik terkait pengakuan hak masyarakat adat/lokal sudah mencakup pencegahan kekerasan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selama ini, belum ada konflik yang benar-benar meyebabkab pertikaian yang menyebabkan kekerasan sampai harus ada resolusi konflik, yang ada biasanya hanya kesalahpahaman mengenai batas hak masyarakat adat/lokal terkait hutan ulayat.</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2</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LSM</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127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mengenai resolusi konflik terkait pengakuan hak masyarakat adat/lokal sudah mencakup pencegahan kekerasan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Betul, mencegah terjadinya kekerasan, apalagi sudah berbicara mengenai aturan atau hukum adat </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3</w:t>
            </w:r>
          </w:p>
        </w:tc>
      </w:tr>
      <w:tr w:rsidR="00F65A9F" w:rsidRPr="00F65A9F" w:rsidTr="00F65A9F">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lastRenderedPageBreak/>
              <w:t>FIId2</w:t>
            </w:r>
          </w:p>
        </w:tc>
        <w:tc>
          <w:tcPr>
            <w:tcW w:w="1414"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Penyelesaian konflik</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tentang resolusi konflik terkait pengakuan hak masyarakat adat/lokal sudah mencakup penyelesaian konflik</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apabila terjadi konflik (tapi tidak mengarah pertikaian antar suku/marga) biasanya diselesaikan secara adat oleh marga/suku/pengelola hutan yang bersangkutan</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3</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LSM</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127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tentang resolusi konflik terkait pengakuan hak masyarakat adat/lokal sudah mencakup penyelesaian konflik</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konflik yang ada Cukup diselesaikan secara adat dengan pembayaran ganti rugi</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3</w:t>
            </w:r>
          </w:p>
        </w:tc>
      </w:tr>
      <w:tr w:rsidR="00F65A9F" w:rsidRPr="00F65A9F" w:rsidTr="00F65A9F">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FIId3</w:t>
            </w:r>
          </w:p>
        </w:tc>
        <w:tc>
          <w:tcPr>
            <w:tcW w:w="1414"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Penerimaan para pihak</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tentang resolusi konflik terkait pengakuan hak masyarakat adat/lokal sudah mencakup penerimaan para pihak</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sebetulnya bukan wewenang dinas kehutanan apabila terjadi konflik, di Sarmi biasanya dilakukan oleh lembaga adat, dan cukup diterima oleh semua pihak</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3</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LSM</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127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tentang resolusi konflik terkait pengakuan hak masyarakat adat/lokal sudah mencakup penerimaan para pihak</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Kalau sudah diselesaikan secara adat berarti sudah diterima oleh semua pihak</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3</w:t>
            </w:r>
          </w:p>
        </w:tc>
      </w:tr>
      <w:tr w:rsidR="00F65A9F" w:rsidRPr="00F65A9F" w:rsidTr="00F65A9F">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FIId4</w:t>
            </w:r>
          </w:p>
        </w:tc>
        <w:tc>
          <w:tcPr>
            <w:tcW w:w="1414"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Komitmen tetap dijalankan</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tentang  resolusi konflik terkait pengakuan hak masyarakat adat/lokal, komitmen yang ada tetap dijalankan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di sarmi kalau, lembaga adat yang menangani perselisihan atau konflik cukup diterima oleh semua pihak dan dapat dijalankan dengan baik</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3</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LSM</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127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Tidak ada dokumen tentang  resolusi konflik terkait pengakuan hak masyarakat </w:t>
            </w:r>
            <w:r w:rsidRPr="00F65A9F">
              <w:rPr>
                <w:rFonts w:ascii="Times New Roman" w:eastAsia="Times New Roman" w:hAnsi="Times New Roman" w:cs="Times New Roman"/>
                <w:color w:val="000000"/>
                <w:sz w:val="20"/>
                <w:szCs w:val="20"/>
                <w:lang w:eastAsia="id-ID"/>
              </w:rPr>
              <w:lastRenderedPageBreak/>
              <w:t>adat/lokal, komitmen yang ada tetap dijalankan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lastRenderedPageBreak/>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Sudah menjadi kesepakatan dan merupakan komitmen yang harus dijunjung </w:t>
            </w:r>
            <w:r w:rsidRPr="00F65A9F">
              <w:rPr>
                <w:rFonts w:ascii="Times New Roman" w:eastAsia="Times New Roman" w:hAnsi="Times New Roman" w:cs="Times New Roman"/>
                <w:color w:val="000000"/>
                <w:sz w:val="20"/>
                <w:szCs w:val="20"/>
                <w:lang w:eastAsia="id-ID"/>
              </w:rPr>
              <w:lastRenderedPageBreak/>
              <w:t>bersama oleh semua pihak</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lastRenderedPageBreak/>
              <w:t>2</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F65A9F" w:rsidRPr="00F65A9F" w:rsidTr="00F65A9F">
        <w:trPr>
          <w:trHeight w:val="255"/>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 Media cetak</w:t>
            </w:r>
          </w:p>
        </w:tc>
      </w:tr>
      <w:tr w:rsidR="00F65A9F" w:rsidRPr="00F65A9F" w:rsidTr="00F65A9F">
        <w:trPr>
          <w:trHeight w:val="64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FIIe1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Jurnalis</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terkait jumlah/frekuensi  dan kualitas pemberitaan terkait pengaku-an hak masyarakat adat/lokal meningkat</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 Cukup memadai ketika ada informasi dari masyarakat adat/lokal yang  bermasalah terkait dengan hak hutan tanah ulayat</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3</w:t>
            </w:r>
          </w:p>
        </w:tc>
      </w:tr>
      <w:tr w:rsidR="00F65A9F" w:rsidRPr="00F65A9F" w:rsidTr="00F65A9F">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FIIe2</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Cakupan berita  mengenai pengakuan pejabat atas hak masyarakat adat</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Jurnalis</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terkait cakupan berita mengenai pengakuan pejabat atas hak ma-syarakat adat sudah memadai</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Cukup memadai pemberitaannya, dan biasanya pejabat dari dinas kehutanan yang menjelaskan dalam bentuk lisan dihadapan masyarakat adat</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3</w:t>
            </w:r>
          </w:p>
        </w:tc>
      </w:tr>
      <w:tr w:rsidR="00F65A9F" w:rsidRPr="00F65A9F" w:rsidTr="00F65A9F">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FIIe3</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Posisi berita dalam media cetak </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Posisi berita dalam media cetak sudah memadai?</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Jurnalis</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dokumen yang ada hanya berupa berita saja dalam tabloid Lentera Sarmi atau dalam Radar sarmi yang terbit dalam koran cenderawasi pos. Posisi berita dalam media cetak sudah memadai</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4</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Informasi yang berkaitan dengan hutan diliput  dalam Tabloid Lentera Sarmi( tabloid mingguan)</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4</w:t>
            </w:r>
          </w:p>
        </w:tc>
      </w:tr>
      <w:tr w:rsidR="00F65A9F" w:rsidRPr="00F65A9F" w:rsidTr="00F65A9F">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FIIe4</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Posisi media dalam pemberitaan </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Posisi media dalam pemberitaan sudah memadai?</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Jurnalis</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dokumen yang ada hanya berupa berita saja dalam tabloid Lentera Sarmi atau dalam Radar sarmi yang terbit dalam koran cenderawasi pos. Posisi berita dalam media cetak sudah memadai</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4</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  Informasi yang berkaitan dengan hutan di dalam edisi Laporan Utama (Tabloid Lentera Sarmi) dan juga tiap hari selasa dalam Koran Cenderawasih Pos termuat “Radar Sarmi”</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4</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255"/>
        </w:trPr>
        <w:tc>
          <w:tcPr>
            <w:tcW w:w="3957" w:type="dxa"/>
            <w:gridSpan w:val="3"/>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Isu dalam PGA REDD+</w:t>
            </w:r>
          </w:p>
        </w:tc>
        <w:tc>
          <w:tcPr>
            <w:tcW w:w="5546" w:type="dxa"/>
            <w:gridSpan w:val="4"/>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Wawancara – Sumber informasi</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Pengusaha, Organisasi Masyarakat Adat, LSM</w:t>
            </w:r>
          </w:p>
        </w:tc>
      </w:tr>
      <w:tr w:rsidR="00F65A9F" w:rsidRPr="00F65A9F" w:rsidTr="00F65A9F">
        <w:trPr>
          <w:trHeight w:val="63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Panduan Analisis </w:t>
            </w:r>
            <w:r w:rsidRPr="00F65A9F">
              <w:rPr>
                <w:rFonts w:ascii="Times New Roman" w:eastAsia="Times New Roman" w:hAnsi="Times New Roman" w:cs="Times New Roman"/>
                <w:b/>
                <w:bCs/>
                <w:color w:val="000000"/>
                <w:sz w:val="20"/>
                <w:szCs w:val="20"/>
                <w:lang w:eastAsia="id-ID"/>
              </w:rPr>
              <w:lastRenderedPageBreak/>
              <w:t>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lastRenderedPageBreak/>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Kategori Data </w:t>
            </w:r>
            <w:r w:rsidRPr="00F65A9F">
              <w:rPr>
                <w:rFonts w:ascii="Times New Roman" w:eastAsia="Times New Roman" w:hAnsi="Times New Roman" w:cs="Times New Roman"/>
                <w:b/>
                <w:bCs/>
                <w:color w:val="000000"/>
                <w:sz w:val="20"/>
                <w:szCs w:val="20"/>
                <w:lang w:eastAsia="id-ID"/>
              </w:rPr>
              <w:lastRenderedPageBreak/>
              <w:t>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Kategori Data </w:t>
            </w:r>
            <w:r w:rsidRPr="00F65A9F">
              <w:rPr>
                <w:rFonts w:ascii="Times New Roman" w:eastAsia="Times New Roman" w:hAnsi="Times New Roman" w:cs="Times New Roman"/>
                <w:b/>
                <w:bCs/>
                <w:color w:val="000000"/>
                <w:sz w:val="20"/>
                <w:szCs w:val="20"/>
                <w:lang w:eastAsia="id-ID"/>
              </w:rPr>
              <w:lastRenderedPageBreak/>
              <w:t>Wawancara</w:t>
            </w:r>
          </w:p>
        </w:tc>
      </w:tr>
      <w:tr w:rsidR="00F65A9F" w:rsidRPr="00F65A9F" w:rsidTr="00F65A9F">
        <w:trPr>
          <w:trHeight w:val="54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lastRenderedPageBreak/>
              <w:t>FIIIa1</w:t>
            </w:r>
          </w:p>
        </w:tc>
        <w:tc>
          <w:tcPr>
            <w:tcW w:w="1414"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Jumlah biaya transaksi pengurusan izin pengelolaan hutan </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Jumlah biaya transaksi pengurusan izin pengelolaan hutan</w:t>
            </w: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LSM</w:t>
            </w:r>
          </w:p>
        </w:tc>
        <w:tc>
          <w:tcPr>
            <w:tcW w:w="1794" w:type="dxa"/>
            <w:tcBorders>
              <w:top w:val="nil"/>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c>
          <w:tcPr>
            <w:tcW w:w="2646" w:type="dxa"/>
            <w:gridSpan w:val="2"/>
            <w:tcBorders>
              <w:top w:val="single" w:sz="4" w:space="0" w:color="auto"/>
              <w:left w:val="nil"/>
              <w:bottom w:val="single" w:sz="4" w:space="0" w:color="auto"/>
              <w:right w:val="nil"/>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w:t>
            </w:r>
          </w:p>
        </w:tc>
      </w:tr>
      <w:tr w:rsidR="00F65A9F" w:rsidRPr="00F65A9F" w:rsidTr="00F65A9F">
        <w:trPr>
          <w:trHeight w:val="2550"/>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dokumen hanya berupa surat keterangan hak ulayat dari kepala kampung/kepala suku/kepala distrik mengenai ijin pemungutan hasil hutan kayu. Berbeda dengan Pergub Provinsi Papua No. 18 tahun 2010, IPHHK diberikan pada masyarakat bisa mencapai 20-50 meter kubik pertahun.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4</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Tidak jelas mengenai biaya pengurusan izin pengelolaan hutan, apalagi masyarakat hanya diijinkan menebang 20 meter kubik pertahun dalam kawasan hak ulayatnya dan ijin tidak bisa diperpanjang. </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r>
      <w:tr w:rsidR="00F65A9F" w:rsidRPr="00F65A9F" w:rsidTr="00F65A9F">
        <w:trPr>
          <w:trHeight w:val="360"/>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63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F65A9F">
              <w:rPr>
                <w:rFonts w:ascii="Times New Roman" w:eastAsia="Times New Roman" w:hAnsi="Times New Roman" w:cs="Times New Roman"/>
                <w:b/>
                <w:bCs/>
                <w:color w:val="000000"/>
                <w:sz w:val="20"/>
                <w:szCs w:val="20"/>
                <w:lang w:eastAsia="id-ID"/>
              </w:rPr>
              <w:br/>
              <w:t xml:space="preserve">  pemegang ijin</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Peraturan Prosedur Pelaksanaan Pengurusan Izin</w:t>
            </w:r>
          </w:p>
        </w:tc>
      </w:tr>
      <w:tr w:rsidR="00F65A9F" w:rsidRPr="00F65A9F" w:rsidTr="00F65A9F">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229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FIIIb1</w:t>
            </w:r>
          </w:p>
        </w:tc>
        <w:tc>
          <w:tcPr>
            <w:tcW w:w="1414"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Jumlah tahapan dan bentuk persyaratan setiap tahapan dalam pengurusan izin </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Terkait pengurusan izin hanya berupa kelengkapan administrasi yang dilakukan oleh instansi Dinas Kehutanan berupa izin pemungutan hasil hutan kayu. Namun,  kewenangan izin melalui persetujuan dari Bupati Kabupaten Sarmi</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4</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1020"/>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BPN</w:t>
            </w:r>
          </w:p>
        </w:tc>
        <w:tc>
          <w:tcPr>
            <w:tcW w:w="2859" w:type="dxa"/>
            <w:gridSpan w:val="2"/>
            <w:tcBorders>
              <w:top w:val="single" w:sz="4" w:space="0" w:color="auto"/>
              <w:left w:val="nil"/>
              <w:bottom w:val="single" w:sz="4" w:space="0" w:color="auto"/>
              <w:right w:val="single" w:sz="4" w:space="0" w:color="000000"/>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Terdapat Informan karena kantor BPN tertutup, umumnya pelayanan di arahkan ke Jayapura</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1500"/>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Dinas Pertanian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 Menerapkan prosedur yang sesuai dengan kebijakan yang telah ditetapkan oleh dinas bersangkutan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4</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255"/>
        </w:trPr>
        <w:tc>
          <w:tcPr>
            <w:tcW w:w="3957" w:type="dxa"/>
            <w:gridSpan w:val="3"/>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Isu dalam PGA REDD+</w:t>
            </w:r>
          </w:p>
        </w:tc>
        <w:tc>
          <w:tcPr>
            <w:tcW w:w="5546" w:type="dxa"/>
            <w:gridSpan w:val="4"/>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63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lastRenderedPageBreak/>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F65A9F">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F65A9F" w:rsidRPr="00F65A9F" w:rsidTr="00F65A9F">
        <w:trPr>
          <w:trHeight w:val="67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271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FIVa1</w:t>
            </w:r>
          </w:p>
        </w:tc>
        <w:tc>
          <w:tcPr>
            <w:tcW w:w="1414"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829" w:type="dxa"/>
            <w:vMerge w:val="restart"/>
            <w:tcBorders>
              <w:top w:val="nil"/>
              <w:left w:val="single" w:sz="4" w:space="0" w:color="auto"/>
              <w:bottom w:val="single" w:sz="4" w:space="0" w:color="000000"/>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Catatan: Tidak pilihan dalam kategori data, namun hasil wawancara bahwa tidak jelas dan belum terdata mengenai jumlah kelompok masyarakat yang mengelola hutan karena umumnya masyarakat dalam tiap kampung memiliki hak ulayat.</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1020"/>
        </w:trPr>
        <w:tc>
          <w:tcPr>
            <w:tcW w:w="7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BPN</w:t>
            </w:r>
          </w:p>
        </w:tc>
        <w:tc>
          <w:tcPr>
            <w:tcW w:w="2859" w:type="dxa"/>
            <w:gridSpan w:val="2"/>
            <w:tcBorders>
              <w:top w:val="single" w:sz="4" w:space="0" w:color="auto"/>
              <w:left w:val="nil"/>
              <w:bottom w:val="single" w:sz="4" w:space="0" w:color="auto"/>
              <w:right w:val="single" w:sz="4" w:space="0" w:color="000000"/>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Terdapat Informan karena kantor BPN tertutup, umumnya pelayanan di arahkan ke Jayapura</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3060"/>
        </w:trPr>
        <w:tc>
          <w:tcPr>
            <w:tcW w:w="7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Dinas Pertanian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pilihan dalam Format  Pertanyaan Wawancara Item Data,</w:t>
            </w:r>
            <w:r w:rsidRPr="00F65A9F">
              <w:rPr>
                <w:rFonts w:ascii="Times New Roman" w:eastAsia="Times New Roman" w:hAnsi="Times New Roman" w:cs="Times New Roman"/>
                <w:color w:val="000000"/>
                <w:sz w:val="20"/>
                <w:szCs w:val="20"/>
                <w:lang w:eastAsia="id-ID"/>
              </w:rPr>
              <w:br/>
              <w:t>Catatan dari hasil wawancara : ada kelompok masyarakat yang mengelola hutan, namun hutan tersebut merupakan hak ulayat yang mereka kelola sendiri</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F65A9F" w:rsidRPr="00F65A9F" w:rsidTr="00F65A9F">
        <w:trPr>
          <w:trHeight w:val="88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515"/>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FIVb1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Ada sekitar 38,30% yang dikelola dari keseluruhan areal 1.433.693,67 Hektar kawasan hutan yang ada di Sarmi </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2</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c. Persentase hutan yang memiliki pengelola (KPH)</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Kementerian Kehutanan &amp; Dinas Kehutanan (Provinsi &amp; Kabupaten)</w:t>
            </w:r>
          </w:p>
        </w:tc>
      </w:tr>
      <w:tr w:rsidR="00F65A9F" w:rsidRPr="00F65A9F" w:rsidTr="00F65A9F">
        <w:trPr>
          <w:trHeight w:val="61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215"/>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FIVc1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Persentase hutan yang memiliki pengelola (KPH)</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Secara areal untuk dikelola sudah ada, namun lembaga KPH belum ada dibentuk</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F65A9F" w:rsidRPr="00F65A9F" w:rsidTr="00F65A9F">
        <w:trPr>
          <w:trHeight w:val="60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FIVd1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Jumlah pengelolaan hutan berbasis ecological services </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pengelolaan hutan berbasis ecological services.</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255"/>
        </w:trPr>
        <w:tc>
          <w:tcPr>
            <w:tcW w:w="3957" w:type="dxa"/>
            <w:gridSpan w:val="3"/>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Isu dalam PGA REDD+</w:t>
            </w:r>
          </w:p>
        </w:tc>
        <w:tc>
          <w:tcPr>
            <w:tcW w:w="5546" w:type="dxa"/>
            <w:gridSpan w:val="4"/>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Laporan Inspektorat, BPKP &amp; BPK, Bawasda</w:t>
            </w:r>
          </w:p>
        </w:tc>
      </w:tr>
      <w:tr w:rsidR="00F65A9F" w:rsidRPr="00F65A9F" w:rsidTr="00F65A9F">
        <w:trPr>
          <w:trHeight w:val="49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FVa1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Jumlah pelanggaran pengguna-an anggaran di tingkat provinsi dan kab/kota  </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BPK, BAWASDA, INSPEKTORAT</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Pelanggaran anggaran jumlahnya sedang di Kabupaten Sarmi</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3</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540"/>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69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Kementrian &amp; Dinas Kehutanan</w:t>
            </w:r>
          </w:p>
        </w:tc>
      </w:tr>
      <w:tr w:rsidR="00F65A9F" w:rsidRPr="00F65A9F" w:rsidTr="00F65A9F">
        <w:trPr>
          <w:trHeight w:val="61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FVb1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Jumlah sanksi administratif serius (pencabutan izin, dan denda, yang telah dijatuhkan)</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Sanksi yang diberikan hanya sebatas penghentian pelayanan administrasi.</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5</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lastRenderedPageBreak/>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Kepolisian (Nasional &amp; Daerah)</w:t>
            </w:r>
          </w:p>
        </w:tc>
      </w:tr>
      <w:tr w:rsidR="00F65A9F" w:rsidRPr="00F65A9F" w:rsidTr="00F65A9F">
        <w:trPr>
          <w:trHeight w:val="58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FVc1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Jumlah kasus pidana kehutanan yang diajukan/diproses oleh polisi </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Polres</w:t>
            </w:r>
          </w:p>
        </w:tc>
        <w:tc>
          <w:tcPr>
            <w:tcW w:w="2859" w:type="dxa"/>
            <w:gridSpan w:val="2"/>
            <w:tcBorders>
              <w:top w:val="single" w:sz="4" w:space="0" w:color="auto"/>
              <w:left w:val="nil"/>
              <w:bottom w:val="single" w:sz="4" w:space="0" w:color="auto"/>
              <w:right w:val="single" w:sz="4" w:space="0" w:color="000000"/>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data maupun Informasi yang diperoleh dari Polres Sarmi</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585"/>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F65A9F">
              <w:rPr>
                <w:rFonts w:ascii="Times New Roman" w:eastAsia="Times New Roman" w:hAnsi="Times New Roman" w:cs="Times New Roman"/>
                <w:b/>
                <w:bCs/>
                <w:color w:val="000000"/>
                <w:sz w:val="20"/>
                <w:szCs w:val="20"/>
                <w:lang w:eastAsia="id-ID"/>
              </w:rPr>
              <w:br/>
              <w:t xml:space="preserve">  diputuskan oleh MA</w:t>
            </w:r>
            <w:r w:rsidRPr="00F65A9F">
              <w:rPr>
                <w:rFonts w:ascii="Times New Roman" w:eastAsia="Times New Roman" w:hAnsi="Times New Roman" w:cs="Times New Roman"/>
                <w:b/>
                <w:bCs/>
                <w:color w:val="000000"/>
                <w:sz w:val="20"/>
                <w:szCs w:val="20"/>
                <w:lang w:eastAsia="id-ID"/>
              </w:rPr>
              <w:br/>
              <w:t xml:space="preserve"> </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Kepolisian (Nasional &amp; Daerah)</w:t>
            </w:r>
          </w:p>
        </w:tc>
      </w:tr>
      <w:tr w:rsidR="00F65A9F" w:rsidRPr="00F65A9F" w:rsidTr="00F65A9F">
        <w:trPr>
          <w:trHeight w:val="64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500"/>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FVd1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Polres</w:t>
            </w:r>
          </w:p>
        </w:tc>
        <w:tc>
          <w:tcPr>
            <w:tcW w:w="2859" w:type="dxa"/>
            <w:gridSpan w:val="2"/>
            <w:tcBorders>
              <w:top w:val="single" w:sz="4" w:space="0" w:color="auto"/>
              <w:left w:val="nil"/>
              <w:bottom w:val="single" w:sz="4" w:space="0" w:color="auto"/>
              <w:right w:val="single" w:sz="4" w:space="0" w:color="000000"/>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data maupun Informasi yang diperoleh dari Polres Sarmi</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e. Index integritas KPK sektor kehutanan</w:t>
            </w:r>
            <w:r w:rsidRPr="00F65A9F">
              <w:rPr>
                <w:rFonts w:ascii="Times New Roman" w:eastAsia="Times New Roman" w:hAnsi="Times New Roman" w:cs="Times New Roman"/>
                <w:b/>
                <w:bCs/>
                <w:color w:val="000000"/>
                <w:sz w:val="20"/>
                <w:szCs w:val="20"/>
                <w:lang w:eastAsia="id-ID"/>
              </w:rPr>
              <w:br/>
              <w:t xml:space="preserve"> </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Hasil Survai KPK tentang Integritas</w:t>
            </w:r>
          </w:p>
        </w:tc>
      </w:tr>
      <w:tr w:rsidR="00F65A9F" w:rsidRPr="00F65A9F" w:rsidTr="00F65A9F">
        <w:trPr>
          <w:trHeight w:val="66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FVe1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Index integritas KPK sektor kehutanan</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KPK &amp; TII</w:t>
            </w:r>
          </w:p>
        </w:tc>
        <w:tc>
          <w:tcPr>
            <w:tcW w:w="2859" w:type="dxa"/>
            <w:gridSpan w:val="2"/>
            <w:tcBorders>
              <w:top w:val="single" w:sz="4" w:space="0" w:color="auto"/>
              <w:left w:val="nil"/>
              <w:bottom w:val="single" w:sz="4" w:space="0" w:color="auto"/>
              <w:right w:val="single" w:sz="4" w:space="0" w:color="000000"/>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KPK &amp; TII di kabupaten Sarmi</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f. Index persepsi korupsi di lokasi assesmen (TII)</w:t>
            </w:r>
            <w:r w:rsidRPr="00F65A9F">
              <w:rPr>
                <w:rFonts w:ascii="Times New Roman" w:eastAsia="Times New Roman" w:hAnsi="Times New Roman" w:cs="Times New Roman"/>
                <w:b/>
                <w:bCs/>
                <w:color w:val="000000"/>
                <w:sz w:val="20"/>
                <w:szCs w:val="20"/>
                <w:lang w:eastAsia="id-ID"/>
              </w:rPr>
              <w:br/>
            </w:r>
            <w:r w:rsidRPr="00F65A9F">
              <w:rPr>
                <w:rFonts w:ascii="Times New Roman" w:eastAsia="Times New Roman" w:hAnsi="Times New Roman" w:cs="Times New Roman"/>
                <w:b/>
                <w:bCs/>
                <w:color w:val="000000"/>
                <w:sz w:val="20"/>
                <w:szCs w:val="20"/>
                <w:lang w:eastAsia="id-ID"/>
              </w:rPr>
              <w:br/>
            </w:r>
            <w:r w:rsidRPr="00F65A9F">
              <w:rPr>
                <w:rFonts w:ascii="Times New Roman" w:eastAsia="Times New Roman" w:hAnsi="Times New Roman" w:cs="Times New Roman"/>
                <w:b/>
                <w:bCs/>
                <w:color w:val="000000"/>
                <w:sz w:val="20"/>
                <w:szCs w:val="20"/>
                <w:lang w:eastAsia="id-ID"/>
              </w:rPr>
              <w:br/>
              <w:t xml:space="preserve"> </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Hasil Survai Persepsi Transparansi Internasional Indonesia (TII)</w:t>
            </w:r>
          </w:p>
        </w:tc>
      </w:tr>
      <w:tr w:rsidR="00F65A9F" w:rsidRPr="00F65A9F" w:rsidTr="00F65A9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FVf1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Index persepsi korupsi di lokasi assesmen (TII) </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KPK &amp; TII</w:t>
            </w:r>
          </w:p>
        </w:tc>
        <w:tc>
          <w:tcPr>
            <w:tcW w:w="2859" w:type="dxa"/>
            <w:gridSpan w:val="2"/>
            <w:tcBorders>
              <w:top w:val="single" w:sz="4" w:space="0" w:color="auto"/>
              <w:left w:val="nil"/>
              <w:bottom w:val="single" w:sz="4" w:space="0" w:color="auto"/>
              <w:right w:val="single" w:sz="4" w:space="0" w:color="000000"/>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KPK &amp; TII di kabupaten Sarmi</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40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585"/>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lastRenderedPageBreak/>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F65A9F">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F65A9F">
              <w:rPr>
                <w:rFonts w:ascii="Times New Roman" w:eastAsia="Times New Roman" w:hAnsi="Times New Roman" w:cs="Times New Roman"/>
                <w:b/>
                <w:bCs/>
                <w:color w:val="000000"/>
                <w:sz w:val="20"/>
                <w:szCs w:val="20"/>
                <w:lang w:eastAsia="id-ID"/>
              </w:rPr>
              <w:br/>
            </w:r>
            <w:r w:rsidRPr="00F65A9F">
              <w:rPr>
                <w:rFonts w:ascii="Times New Roman" w:eastAsia="Times New Roman" w:hAnsi="Times New Roman" w:cs="Times New Roman"/>
                <w:b/>
                <w:bCs/>
                <w:color w:val="000000"/>
                <w:sz w:val="20"/>
                <w:szCs w:val="20"/>
                <w:lang w:eastAsia="id-ID"/>
              </w:rPr>
              <w:br/>
            </w:r>
            <w:r w:rsidRPr="00F65A9F">
              <w:rPr>
                <w:rFonts w:ascii="Times New Roman" w:eastAsia="Times New Roman" w:hAnsi="Times New Roman" w:cs="Times New Roman"/>
                <w:b/>
                <w:bCs/>
                <w:color w:val="000000"/>
                <w:sz w:val="20"/>
                <w:szCs w:val="20"/>
                <w:lang w:eastAsia="id-ID"/>
              </w:rPr>
              <w:br/>
            </w:r>
            <w:r w:rsidRPr="00F65A9F">
              <w:rPr>
                <w:rFonts w:ascii="Times New Roman" w:eastAsia="Times New Roman" w:hAnsi="Times New Roman" w:cs="Times New Roman"/>
                <w:b/>
                <w:bCs/>
                <w:color w:val="000000"/>
                <w:sz w:val="20"/>
                <w:szCs w:val="20"/>
                <w:lang w:eastAsia="id-ID"/>
              </w:rPr>
              <w:br/>
              <w:t xml:space="preserve"> </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Laporan BPK</w:t>
            </w:r>
          </w:p>
        </w:tc>
      </w:tr>
      <w:tr w:rsidR="00F65A9F" w:rsidRPr="00F65A9F" w:rsidTr="00F65A9F">
        <w:trPr>
          <w:trHeight w:val="64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FVg1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BPK, BAWASDA, INSPEKTORAT</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Terjadi kerugian Negara dalam masa 2 (dua) tahun terakhir saat masa transisi kepemimpinan di kabupaten Sarmi.</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3</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h. Jumlah pengaduan masyarakat tentang kinerja pengelolaan hutan</w:t>
            </w:r>
            <w:r w:rsidRPr="00F65A9F">
              <w:rPr>
                <w:rFonts w:ascii="Times New Roman" w:eastAsia="Times New Roman" w:hAnsi="Times New Roman" w:cs="Times New Roman"/>
                <w:b/>
                <w:bCs/>
                <w:color w:val="000000"/>
                <w:sz w:val="20"/>
                <w:szCs w:val="20"/>
                <w:lang w:eastAsia="id-ID"/>
              </w:rPr>
              <w:br/>
            </w:r>
            <w:r w:rsidRPr="00F65A9F">
              <w:rPr>
                <w:rFonts w:ascii="Times New Roman" w:eastAsia="Times New Roman" w:hAnsi="Times New Roman" w:cs="Times New Roman"/>
                <w:b/>
                <w:bCs/>
                <w:color w:val="000000"/>
                <w:sz w:val="20"/>
                <w:szCs w:val="20"/>
                <w:lang w:eastAsia="id-ID"/>
              </w:rPr>
              <w:br/>
            </w:r>
            <w:r w:rsidRPr="00F65A9F">
              <w:rPr>
                <w:rFonts w:ascii="Times New Roman" w:eastAsia="Times New Roman" w:hAnsi="Times New Roman" w:cs="Times New Roman"/>
                <w:b/>
                <w:bCs/>
                <w:color w:val="000000"/>
                <w:sz w:val="20"/>
                <w:szCs w:val="20"/>
                <w:lang w:eastAsia="id-ID"/>
              </w:rPr>
              <w:br/>
            </w:r>
            <w:r w:rsidRPr="00F65A9F">
              <w:rPr>
                <w:rFonts w:ascii="Times New Roman" w:eastAsia="Times New Roman" w:hAnsi="Times New Roman" w:cs="Times New Roman"/>
                <w:b/>
                <w:bCs/>
                <w:color w:val="000000"/>
                <w:sz w:val="20"/>
                <w:szCs w:val="20"/>
                <w:lang w:eastAsia="id-ID"/>
              </w:rPr>
              <w:br/>
              <w:t xml:space="preserve"> </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Kementerian &amp; Dinas Kehutanan</w:t>
            </w:r>
          </w:p>
        </w:tc>
      </w:tr>
      <w:tr w:rsidR="00F65A9F" w:rsidRPr="00F65A9F" w:rsidTr="00F65A9F">
        <w:trPr>
          <w:trHeight w:val="66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3225"/>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FVh1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Jumlah pengaduan masyarakat tentang kinerja pengelolaan hutan </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Masyarakat lokal yang mengadu hanya menyampaikan secara lisan ke Dinas Kehutanan, menceritakan apa yang terjadi dalam areal ulayat mereka apabila terjadi ketidaksesuaian dengan perusahaan, misalnya ketidaksesuaian atau kecurigaan jumlah kayu yang diambil oleh pengusaha dengan pemilik lahan hutan ulayat.</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5</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p>
        </w:tc>
        <w:tc>
          <w:tcPr>
            <w:tcW w:w="1414"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255"/>
        </w:trPr>
        <w:tc>
          <w:tcPr>
            <w:tcW w:w="3957" w:type="dxa"/>
            <w:gridSpan w:val="3"/>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Isu dalam PGA REDD+</w:t>
            </w:r>
          </w:p>
        </w:tc>
        <w:tc>
          <w:tcPr>
            <w:tcW w:w="5546" w:type="dxa"/>
            <w:gridSpan w:val="4"/>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a. Jumlah kelompok masyarakat adat/lokal dan bisnis yg dapat akses di </w:t>
            </w:r>
            <w:r w:rsidRPr="00F65A9F">
              <w:rPr>
                <w:rFonts w:ascii="Times New Roman" w:eastAsia="Times New Roman" w:hAnsi="Times New Roman" w:cs="Times New Roman"/>
                <w:b/>
                <w:bCs/>
                <w:color w:val="000000"/>
                <w:sz w:val="20"/>
                <w:szCs w:val="20"/>
                <w:lang w:eastAsia="id-ID"/>
              </w:rPr>
              <w:lastRenderedPageBreak/>
              <w:t>dalam lokasi REDD+</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lastRenderedPageBreak/>
              <w:t>Sumber informasi</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F65A9F" w:rsidRPr="00F65A9F" w:rsidTr="00F65A9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FVIa1</w:t>
            </w:r>
          </w:p>
        </w:tc>
        <w:tc>
          <w:tcPr>
            <w:tcW w:w="1414"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870"/>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hideMark/>
          </w:tcPr>
          <w:p w:rsidR="00F65A9F" w:rsidRPr="00F65A9F" w:rsidRDefault="00F65A9F" w:rsidP="00F65A9F">
            <w:pPr>
              <w:spacing w:after="0" w:line="240" w:lineRule="auto"/>
              <w:jc w:val="center"/>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Satgas REDD+</w:t>
            </w:r>
          </w:p>
        </w:tc>
        <w:tc>
          <w:tcPr>
            <w:tcW w:w="2859" w:type="dxa"/>
            <w:gridSpan w:val="2"/>
            <w:tcBorders>
              <w:top w:val="single" w:sz="4" w:space="0" w:color="auto"/>
              <w:left w:val="single" w:sz="4" w:space="0" w:color="auto"/>
              <w:bottom w:val="single" w:sz="4" w:space="0" w:color="auto"/>
              <w:right w:val="single" w:sz="4" w:space="0" w:color="000000"/>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Tidak ada Satgas REDD+ di Kabupaten Sarmi</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b. Tingkat penerimaan Strategi REDD+ oleh para aktor</w:t>
            </w:r>
            <w:r w:rsidRPr="00F65A9F">
              <w:rPr>
                <w:rFonts w:ascii="Times New Roman" w:eastAsia="Times New Roman" w:hAnsi="Times New Roman" w:cs="Times New Roman"/>
                <w:b/>
                <w:bCs/>
                <w:color w:val="000000"/>
                <w:sz w:val="20"/>
                <w:szCs w:val="20"/>
                <w:lang w:eastAsia="id-ID"/>
              </w:rPr>
              <w:br/>
            </w:r>
          </w:p>
        </w:tc>
      </w:tr>
      <w:tr w:rsidR="00F65A9F" w:rsidRPr="00F65A9F" w:rsidTr="00F65A9F">
        <w:trPr>
          <w:trHeight w:val="78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informasi</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F65A9F" w:rsidRPr="00F65A9F" w:rsidTr="00F65A9F">
        <w:trPr>
          <w:trHeight w:val="585"/>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FVIb1</w:t>
            </w:r>
          </w:p>
        </w:tc>
        <w:tc>
          <w:tcPr>
            <w:tcW w:w="1414" w:type="dxa"/>
            <w:vMerge w:val="restart"/>
            <w:tcBorders>
              <w:top w:val="nil"/>
              <w:left w:val="single" w:sz="4" w:space="0" w:color="auto"/>
              <w:bottom w:val="single" w:sz="4" w:space="0" w:color="000000"/>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Bagaimana penerimaan Strate-gi REDD+ oleh para aktor?</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REDD+ belum ada dibentuk di kabupaten Sarmi, selama ini hanya informasi ataupun sekedar wacana yang pernah disosialisasikan di tingkat provinsi papua</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r>
      <w:tr w:rsidR="00F65A9F" w:rsidRPr="00F65A9F" w:rsidTr="00F65A9F">
        <w:trPr>
          <w:trHeight w:val="1530"/>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Bappeda</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REDD+ belum ada dibentuk di kabupaten Sarmi, selama ini hanya informasi ataupun sekedar wacana yang pernah disosialisasikan di tingkat provinsi papua</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LSM</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2963" w:type="dxa"/>
            <w:gridSpan w:val="2"/>
            <w:tcBorders>
              <w:top w:val="single" w:sz="4" w:space="0" w:color="auto"/>
              <w:left w:val="single" w:sz="4" w:space="0" w:color="auto"/>
              <w:bottom w:val="single" w:sz="4" w:space="0" w:color="auto"/>
              <w:right w:val="single" w:sz="4" w:space="0" w:color="000000"/>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                   Tidak ada LSM di Kabupaten Sarmi</w:t>
            </w:r>
          </w:p>
        </w:tc>
      </w:tr>
      <w:tr w:rsidR="00F65A9F" w:rsidRPr="00F65A9F" w:rsidTr="00F65A9F">
        <w:trPr>
          <w:trHeight w:val="127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Catatan : Informan tidak memilih dalam kategori data karena tidak mengetahui tentang Satgas REDD+, apalagi di Kabupaten Sarmi belum ada Satgas REDD+</w:t>
            </w:r>
          </w:p>
        </w:tc>
        <w:tc>
          <w:tcPr>
            <w:tcW w:w="1382" w:type="dxa"/>
            <w:tcBorders>
              <w:top w:val="nil"/>
              <w:left w:val="nil"/>
              <w:bottom w:val="single" w:sz="4" w:space="0" w:color="auto"/>
              <w:right w:val="single" w:sz="4" w:space="0" w:color="auto"/>
            </w:tcBorders>
            <w:shd w:val="clear" w:color="000000" w:fill="FFFF00"/>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lastRenderedPageBreak/>
              <w:t>FVIb2</w:t>
            </w:r>
          </w:p>
        </w:tc>
        <w:tc>
          <w:tcPr>
            <w:tcW w:w="1414" w:type="dxa"/>
            <w:vMerge w:val="restart"/>
            <w:tcBorders>
              <w:top w:val="nil"/>
              <w:left w:val="single" w:sz="4" w:space="0" w:color="auto"/>
              <w:bottom w:val="single" w:sz="4" w:space="0" w:color="000000"/>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Kelembagaan REDD+ sudah memadai?</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REDD+ belum ada dibentuk di kabupaten Sarmi, selama ini hanya informasi ataupun sekedar wacana yang pernah disosialisasikan di tingkat provinsi papua</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r>
      <w:tr w:rsidR="00F65A9F" w:rsidRPr="00F65A9F" w:rsidTr="00F65A9F">
        <w:trPr>
          <w:trHeight w:val="1530"/>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Bappeda</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REDD+ belum ada dibentuk di kabupaten Sarmi, selama ini hanya informasi ataupun sekedar wacana yang pernah disosialisasikan di tingkat provinsi papua</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LSM</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2963" w:type="dxa"/>
            <w:gridSpan w:val="2"/>
            <w:tcBorders>
              <w:top w:val="single" w:sz="4" w:space="0" w:color="auto"/>
              <w:left w:val="single" w:sz="4" w:space="0" w:color="auto"/>
              <w:bottom w:val="single" w:sz="4" w:space="0" w:color="auto"/>
              <w:right w:val="single" w:sz="4" w:space="0" w:color="000000"/>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                   Tidak ada LSM di Kabupaten Sarmi</w:t>
            </w:r>
          </w:p>
        </w:tc>
      </w:tr>
      <w:tr w:rsidR="00F65A9F" w:rsidRPr="00F65A9F" w:rsidTr="00F65A9F">
        <w:trPr>
          <w:trHeight w:val="127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Catatan : Informan tidak memilih dalam kategori data karena tidak mengetahui tentang Satgas REDD+, apalagi di Kabupaten Sarmi belum ada Satgas REDD+</w:t>
            </w:r>
          </w:p>
        </w:tc>
        <w:tc>
          <w:tcPr>
            <w:tcW w:w="1382" w:type="dxa"/>
            <w:tcBorders>
              <w:top w:val="nil"/>
              <w:left w:val="nil"/>
              <w:bottom w:val="single" w:sz="4" w:space="0" w:color="auto"/>
              <w:right w:val="single" w:sz="4" w:space="0" w:color="auto"/>
            </w:tcBorders>
            <w:shd w:val="clear" w:color="000000" w:fill="FFFF00"/>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FVIb3</w:t>
            </w:r>
          </w:p>
        </w:tc>
        <w:tc>
          <w:tcPr>
            <w:tcW w:w="1414" w:type="dxa"/>
            <w:vMerge w:val="restart"/>
            <w:tcBorders>
              <w:top w:val="nil"/>
              <w:left w:val="single" w:sz="4" w:space="0" w:color="auto"/>
              <w:bottom w:val="single" w:sz="4" w:space="0" w:color="000000"/>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Kerangka Pengaman sudah memadai?</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belum tahu bagaimana kerangka pengamanan, karena REDD+ belum ada di kabupaten sarmi</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r>
      <w:tr w:rsidR="00F65A9F" w:rsidRPr="00F65A9F" w:rsidTr="00F65A9F">
        <w:trPr>
          <w:trHeight w:val="76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Bappeda</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belum tahu bagaimana kerangka pengamanan, karena REDD+ belum ada di kabupaten sarmi</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LSM</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2963" w:type="dxa"/>
            <w:gridSpan w:val="2"/>
            <w:tcBorders>
              <w:top w:val="single" w:sz="4" w:space="0" w:color="auto"/>
              <w:left w:val="single" w:sz="4" w:space="0" w:color="auto"/>
              <w:bottom w:val="single" w:sz="4" w:space="0" w:color="auto"/>
              <w:right w:val="single" w:sz="4" w:space="0" w:color="000000"/>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                   Tidak ada LSM di Kabupaten Sarmi</w:t>
            </w:r>
          </w:p>
        </w:tc>
      </w:tr>
      <w:tr w:rsidR="00F65A9F" w:rsidRPr="00F65A9F" w:rsidTr="00F65A9F">
        <w:trPr>
          <w:trHeight w:val="127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Catatan : Informan tidak memilih dalam kategori data karena tidak mengetahui tentang Satgas REDD+, apalagi di Kabupaten Sarmi belum ada </w:t>
            </w:r>
            <w:r w:rsidRPr="00F65A9F">
              <w:rPr>
                <w:rFonts w:ascii="Times New Roman" w:eastAsia="Times New Roman" w:hAnsi="Times New Roman" w:cs="Times New Roman"/>
                <w:color w:val="000000"/>
                <w:sz w:val="20"/>
                <w:szCs w:val="20"/>
                <w:lang w:eastAsia="id-ID"/>
              </w:rPr>
              <w:lastRenderedPageBreak/>
              <w:t>Satgas REDD+</w:t>
            </w:r>
          </w:p>
        </w:tc>
        <w:tc>
          <w:tcPr>
            <w:tcW w:w="1382" w:type="dxa"/>
            <w:tcBorders>
              <w:top w:val="nil"/>
              <w:left w:val="nil"/>
              <w:bottom w:val="single" w:sz="4" w:space="0" w:color="auto"/>
              <w:right w:val="single" w:sz="4" w:space="0" w:color="auto"/>
            </w:tcBorders>
            <w:shd w:val="clear" w:color="000000" w:fill="FFFF00"/>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lastRenderedPageBreak/>
              <w:t> </w:t>
            </w:r>
          </w:p>
        </w:tc>
      </w:tr>
      <w:tr w:rsidR="00F65A9F" w:rsidRPr="00F65A9F" w:rsidTr="00F65A9F">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lastRenderedPageBreak/>
              <w:t>FVIb4</w:t>
            </w:r>
          </w:p>
        </w:tc>
        <w:tc>
          <w:tcPr>
            <w:tcW w:w="1414" w:type="dxa"/>
            <w:vMerge w:val="restart"/>
            <w:tcBorders>
              <w:top w:val="nil"/>
              <w:left w:val="single" w:sz="4" w:space="0" w:color="auto"/>
              <w:bottom w:val="single" w:sz="4" w:space="0" w:color="000000"/>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829" w:type="dxa"/>
            <w:vMerge w:val="restart"/>
            <w:tcBorders>
              <w:top w:val="nil"/>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Apakah (mekanisme) MRV sudah memadai?</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REDD+ saja tidak ada, jadi belum tahu bagaimana mekanisme MRV untuk pelaksanaannya</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r>
      <w:tr w:rsidR="00F65A9F" w:rsidRPr="00F65A9F" w:rsidTr="00F65A9F">
        <w:trPr>
          <w:trHeight w:val="76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Bappeda</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REDD+ belum ada dibentuk, jadi belum bisa berbicara tentang mekanisme MRV</w:t>
            </w:r>
          </w:p>
        </w:tc>
        <w:tc>
          <w:tcPr>
            <w:tcW w:w="1382" w:type="dxa"/>
            <w:tcBorders>
              <w:top w:val="nil"/>
              <w:left w:val="nil"/>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r>
      <w:tr w:rsidR="00F65A9F" w:rsidRPr="00F65A9F" w:rsidTr="00F65A9F">
        <w:trPr>
          <w:trHeight w:val="25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000000" w:fill="F2DDDC"/>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LSM</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2963" w:type="dxa"/>
            <w:gridSpan w:val="2"/>
            <w:tcBorders>
              <w:top w:val="single" w:sz="4" w:space="0" w:color="auto"/>
              <w:left w:val="single" w:sz="4" w:space="0" w:color="auto"/>
              <w:bottom w:val="single" w:sz="4" w:space="0" w:color="auto"/>
              <w:right w:val="single" w:sz="4" w:space="0" w:color="000000"/>
            </w:tcBorders>
            <w:shd w:val="clear" w:color="000000" w:fill="F2DDDC"/>
            <w:noWrap/>
            <w:hideMark/>
          </w:tcPr>
          <w:p w:rsidR="00F65A9F" w:rsidRPr="00F65A9F" w:rsidRDefault="00F65A9F" w:rsidP="00F65A9F">
            <w:pPr>
              <w:spacing w:after="0" w:line="240" w:lineRule="auto"/>
              <w:rPr>
                <w:rFonts w:ascii="Times New Roman" w:eastAsia="Times New Roman" w:hAnsi="Times New Roman" w:cs="Times New Roman"/>
                <w:sz w:val="20"/>
                <w:szCs w:val="20"/>
                <w:lang w:eastAsia="id-ID"/>
              </w:rPr>
            </w:pPr>
            <w:r w:rsidRPr="00F65A9F">
              <w:rPr>
                <w:rFonts w:ascii="Times New Roman" w:eastAsia="Times New Roman" w:hAnsi="Times New Roman" w:cs="Times New Roman"/>
                <w:sz w:val="20"/>
                <w:szCs w:val="20"/>
                <w:lang w:eastAsia="id-ID"/>
              </w:rPr>
              <w:t xml:space="preserve">                   Tidak ada LSM di Kabupaten Sarmi</w:t>
            </w:r>
          </w:p>
        </w:tc>
      </w:tr>
      <w:tr w:rsidR="00F65A9F" w:rsidRPr="00F65A9F" w:rsidTr="00F65A9F">
        <w:trPr>
          <w:trHeight w:val="1275"/>
        </w:trPr>
        <w:tc>
          <w:tcPr>
            <w:tcW w:w="714"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414" w:type="dxa"/>
            <w:vMerge/>
            <w:tcBorders>
              <w:top w:val="nil"/>
              <w:left w:val="single" w:sz="4" w:space="0" w:color="auto"/>
              <w:bottom w:val="single" w:sz="4" w:space="0" w:color="000000"/>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829" w:type="dxa"/>
            <w:vMerge/>
            <w:tcBorders>
              <w:top w:val="nil"/>
              <w:left w:val="single" w:sz="4" w:space="0" w:color="auto"/>
              <w:bottom w:val="single" w:sz="4" w:space="0" w:color="auto"/>
              <w:right w:val="single" w:sz="4" w:space="0" w:color="auto"/>
            </w:tcBorders>
            <w:vAlign w:val="center"/>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Organisasi Masyarakat Adat Lokal</w:t>
            </w:r>
          </w:p>
        </w:tc>
        <w:tc>
          <w:tcPr>
            <w:tcW w:w="1794"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065"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Catatan : Informan tidak memilih dalam kategori data karena tidak mengetahui tentang Satgas REDD+, apalagi di Kabupaten Sarmi belum ada Satgas REDD+</w:t>
            </w:r>
          </w:p>
        </w:tc>
        <w:tc>
          <w:tcPr>
            <w:tcW w:w="1382" w:type="dxa"/>
            <w:tcBorders>
              <w:top w:val="nil"/>
              <w:left w:val="nil"/>
              <w:bottom w:val="single" w:sz="4" w:space="0" w:color="auto"/>
              <w:right w:val="single" w:sz="4" w:space="0" w:color="auto"/>
            </w:tcBorders>
            <w:shd w:val="clear" w:color="000000" w:fill="FFFF00"/>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c. Tingkat deforestasi di lokasi assesmen</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informasi</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Kementerian &amp; Dinas Kehutanan</w:t>
            </w:r>
          </w:p>
        </w:tc>
      </w:tr>
      <w:tr w:rsidR="00F65A9F" w:rsidRPr="00F65A9F" w:rsidTr="00F65A9F">
        <w:trPr>
          <w:trHeight w:val="66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FVIc1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Tingkat deforestasi di lokasi assesmen </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namun berdasarkan informasi Sangat rendah tingkat deforestasi di Sarmi.</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d. Tingkat degradasi hutan di lokasi assesmen</w:t>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informasi</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Kementerian &amp; Dinas Kehutanan</w:t>
            </w:r>
          </w:p>
        </w:tc>
      </w:tr>
      <w:tr w:rsidR="00F65A9F" w:rsidRPr="00F65A9F" w:rsidTr="00F65A9F">
        <w:trPr>
          <w:trHeight w:val="57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FVId1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Tingkat degradasi hutan di lokasi assesmen </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Tidak ada dokumen, namun berdasarkan informasi Sangat rendah tingkat degradasi di Sarmi.</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1</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r w:rsidR="00F65A9F" w:rsidRPr="00F65A9F" w:rsidTr="00F65A9F">
        <w:trPr>
          <w:trHeight w:val="255"/>
        </w:trPr>
        <w:tc>
          <w:tcPr>
            <w:tcW w:w="7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41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794"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c>
          <w:tcPr>
            <w:tcW w:w="1581"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p>
        </w:tc>
      </w:tr>
      <w:tr w:rsidR="00F65A9F" w:rsidRPr="00F65A9F" w:rsidTr="00F65A9F">
        <w:trPr>
          <w:trHeight w:val="66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lastRenderedPageBreak/>
              <w:t>Indikator</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p>
        </w:tc>
        <w:tc>
          <w:tcPr>
            <w:tcW w:w="6928" w:type="dxa"/>
            <w:gridSpan w:val="5"/>
            <w:tcBorders>
              <w:top w:val="nil"/>
              <w:left w:val="nil"/>
              <w:bottom w:val="nil"/>
              <w:right w:val="nil"/>
            </w:tcBorders>
            <w:shd w:val="clear" w:color="auto" w:fill="auto"/>
            <w:hideMark/>
          </w:tcPr>
          <w:p w:rsidR="00F65A9F" w:rsidRPr="00F65A9F" w:rsidRDefault="00F65A9F" w:rsidP="00F65A9F">
            <w:pPr>
              <w:spacing w:after="24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F65A9F">
              <w:rPr>
                <w:rFonts w:ascii="Times New Roman" w:eastAsia="Times New Roman" w:hAnsi="Times New Roman" w:cs="Times New Roman"/>
                <w:b/>
                <w:bCs/>
                <w:color w:val="000000"/>
                <w:sz w:val="20"/>
                <w:szCs w:val="20"/>
                <w:lang w:eastAsia="id-ID"/>
              </w:rPr>
              <w:br/>
              <w:t xml:space="preserve">  REDD+ (demonstration ativities)</w:t>
            </w:r>
            <w:r w:rsidRPr="00F65A9F">
              <w:rPr>
                <w:rFonts w:ascii="Times New Roman" w:eastAsia="Times New Roman" w:hAnsi="Times New Roman" w:cs="Times New Roman"/>
                <w:b/>
                <w:bCs/>
                <w:color w:val="000000"/>
                <w:sz w:val="20"/>
                <w:szCs w:val="20"/>
                <w:lang w:eastAsia="id-ID"/>
              </w:rPr>
              <w:br/>
            </w:r>
          </w:p>
        </w:tc>
      </w:tr>
      <w:tr w:rsidR="00F65A9F" w:rsidRPr="00F65A9F" w:rsidTr="00F65A9F">
        <w:trPr>
          <w:trHeight w:val="300"/>
        </w:trPr>
        <w:tc>
          <w:tcPr>
            <w:tcW w:w="2128" w:type="dxa"/>
            <w:gridSpan w:val="2"/>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informasi</w:t>
            </w:r>
          </w:p>
        </w:tc>
        <w:tc>
          <w:tcPr>
            <w:tcW w:w="1829" w:type="dxa"/>
            <w:tcBorders>
              <w:top w:val="nil"/>
              <w:left w:val="nil"/>
              <w:bottom w:val="nil"/>
              <w:right w:val="nil"/>
            </w:tcBorders>
            <w:shd w:val="clear" w:color="auto" w:fill="auto"/>
            <w:noWrap/>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p>
        </w:tc>
        <w:tc>
          <w:tcPr>
            <w:tcW w:w="6928" w:type="dxa"/>
            <w:gridSpan w:val="5"/>
            <w:tcBorders>
              <w:top w:val="nil"/>
              <w:left w:val="nil"/>
              <w:bottom w:val="single" w:sz="4" w:space="0" w:color="auto"/>
              <w:right w:val="nil"/>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 Kementerian &amp; Dinas Kehutanan</w:t>
            </w:r>
          </w:p>
        </w:tc>
      </w:tr>
      <w:tr w:rsidR="00F65A9F" w:rsidRPr="00F65A9F" w:rsidTr="00F65A9F">
        <w:trPr>
          <w:trHeight w:val="60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Kode</w:t>
            </w:r>
          </w:p>
        </w:tc>
        <w:tc>
          <w:tcPr>
            <w:tcW w:w="1414"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Panduan Analisis Dokumen</w:t>
            </w:r>
          </w:p>
        </w:tc>
        <w:tc>
          <w:tcPr>
            <w:tcW w:w="1829" w:type="dxa"/>
            <w:tcBorders>
              <w:top w:val="single" w:sz="4" w:space="0" w:color="auto"/>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Pertanyaan Wawancara</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Sumber Data</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Dokumen</w:t>
            </w:r>
          </w:p>
        </w:tc>
        <w:tc>
          <w:tcPr>
            <w:tcW w:w="1065"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Dokumen</w:t>
            </w:r>
          </w:p>
        </w:tc>
        <w:tc>
          <w:tcPr>
            <w:tcW w:w="1581"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b/>
                <w:bCs/>
                <w:color w:val="000000"/>
                <w:sz w:val="20"/>
                <w:szCs w:val="20"/>
                <w:lang w:eastAsia="id-ID"/>
              </w:rPr>
            </w:pPr>
            <w:r w:rsidRPr="00F65A9F">
              <w:rPr>
                <w:rFonts w:ascii="Times New Roman" w:eastAsia="Times New Roman" w:hAnsi="Times New Roman" w:cs="Times New Roman"/>
                <w:b/>
                <w:bCs/>
                <w:color w:val="000000"/>
                <w:sz w:val="20"/>
                <w:szCs w:val="20"/>
                <w:lang w:eastAsia="id-ID"/>
              </w:rPr>
              <w:t>Kategori Data Wawancara</w:t>
            </w:r>
          </w:p>
        </w:tc>
      </w:tr>
      <w:tr w:rsidR="00F65A9F" w:rsidRPr="00F65A9F" w:rsidTr="00F65A9F">
        <w:trPr>
          <w:trHeight w:val="2025"/>
        </w:trPr>
        <w:tc>
          <w:tcPr>
            <w:tcW w:w="714" w:type="dxa"/>
            <w:tcBorders>
              <w:top w:val="nil"/>
              <w:left w:val="single" w:sz="4" w:space="0" w:color="auto"/>
              <w:bottom w:val="single" w:sz="4" w:space="0" w:color="auto"/>
              <w:right w:val="single" w:sz="4" w:space="0" w:color="auto"/>
            </w:tcBorders>
            <w:shd w:val="clear" w:color="auto" w:fill="auto"/>
            <w:noWrap/>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FVIe1</w:t>
            </w:r>
          </w:p>
        </w:tc>
        <w:tc>
          <w:tcPr>
            <w:tcW w:w="141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829"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Kehutanan</w:t>
            </w:r>
          </w:p>
        </w:tc>
        <w:tc>
          <w:tcPr>
            <w:tcW w:w="1794" w:type="dxa"/>
            <w:tcBorders>
              <w:top w:val="nil"/>
              <w:left w:val="nil"/>
              <w:bottom w:val="single" w:sz="4" w:space="0" w:color="auto"/>
              <w:right w:val="single" w:sz="4" w:space="0" w:color="auto"/>
            </w:tcBorders>
            <w:shd w:val="clear" w:color="auto" w:fill="auto"/>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Catatan : Tidak ada pilihan dalam kategori data. Namun informasi yang diperoleh dari wawancara  ..karena pelaku pengelolaan hutan belum ada apalagi yang berkaitan dengan pelaksanaan REDD+ di Sarmi</w:t>
            </w:r>
          </w:p>
        </w:tc>
        <w:tc>
          <w:tcPr>
            <w:tcW w:w="1065" w:type="dxa"/>
            <w:tcBorders>
              <w:top w:val="nil"/>
              <w:left w:val="nil"/>
              <w:bottom w:val="single" w:sz="4" w:space="0" w:color="auto"/>
              <w:right w:val="single" w:sz="4" w:space="0" w:color="auto"/>
            </w:tcBorders>
            <w:shd w:val="clear" w:color="000000" w:fill="FFFF00"/>
            <w:hideMark/>
          </w:tcPr>
          <w:p w:rsidR="00F65A9F" w:rsidRPr="00F65A9F" w:rsidRDefault="00F65A9F" w:rsidP="00F65A9F">
            <w:pPr>
              <w:spacing w:after="0" w:line="240" w:lineRule="auto"/>
              <w:jc w:val="center"/>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581"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F65A9F" w:rsidRPr="00F65A9F" w:rsidRDefault="00F65A9F" w:rsidP="00F65A9F">
            <w:pPr>
              <w:spacing w:after="0" w:line="240" w:lineRule="auto"/>
              <w:rPr>
                <w:rFonts w:ascii="Times New Roman" w:eastAsia="Times New Roman" w:hAnsi="Times New Roman" w:cs="Times New Roman"/>
                <w:color w:val="000000"/>
                <w:sz w:val="20"/>
                <w:szCs w:val="20"/>
                <w:lang w:eastAsia="id-ID"/>
              </w:rPr>
            </w:pPr>
            <w:r w:rsidRPr="00F65A9F">
              <w:rPr>
                <w:rFonts w:ascii="Times New Roman" w:eastAsia="Times New Roman" w:hAnsi="Times New Roman" w:cs="Times New Roman"/>
                <w:color w:val="000000"/>
                <w:sz w:val="20"/>
                <w:szCs w:val="20"/>
                <w:lang w:eastAsia="id-ID"/>
              </w:rPr>
              <w:t> </w:t>
            </w:r>
          </w:p>
        </w:tc>
      </w:tr>
    </w:tbl>
    <w:p w:rsidR="00F65A9F" w:rsidRDefault="00F65A9F"/>
    <w:sectPr w:rsidR="00F65A9F"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2514F"/>
    <w:rsid w:val="0026067C"/>
    <w:rsid w:val="00265D91"/>
    <w:rsid w:val="004165D1"/>
    <w:rsid w:val="004570C7"/>
    <w:rsid w:val="005D2D3D"/>
    <w:rsid w:val="006E5970"/>
    <w:rsid w:val="009F3E98"/>
    <w:rsid w:val="00A91768"/>
    <w:rsid w:val="00BB5203"/>
    <w:rsid w:val="00C622FE"/>
    <w:rsid w:val="00D74DB4"/>
    <w:rsid w:val="00D9058A"/>
    <w:rsid w:val="00F65A9F"/>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F65A9F"/>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8">
    <w:name w:val="font8"/>
    <w:basedOn w:val="Normal"/>
    <w:rsid w:val="00F65A9F"/>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9">
    <w:name w:val="font9"/>
    <w:basedOn w:val="Normal"/>
    <w:rsid w:val="00F65A9F"/>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9">
    <w:name w:val="xl119"/>
    <w:basedOn w:val="Normal"/>
    <w:rsid w:val="00F65A9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6100"/>
      <w:sz w:val="20"/>
      <w:szCs w:val="20"/>
      <w:lang w:eastAsia="id-ID"/>
    </w:rPr>
  </w:style>
  <w:style w:type="paragraph" w:customStyle="1" w:styleId="xl120">
    <w:name w:val="xl120"/>
    <w:basedOn w:val="Normal"/>
    <w:rsid w:val="00F65A9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6100"/>
      <w:sz w:val="20"/>
      <w:szCs w:val="20"/>
      <w:lang w:eastAsia="id-ID"/>
    </w:rPr>
  </w:style>
  <w:style w:type="paragraph" w:customStyle="1" w:styleId="xl121">
    <w:name w:val="xl121"/>
    <w:basedOn w:val="Normal"/>
    <w:rsid w:val="00F65A9F"/>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2">
    <w:name w:val="xl122"/>
    <w:basedOn w:val="Normal"/>
    <w:rsid w:val="00F65A9F"/>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15192282">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 w:id="178804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17</Pages>
  <Words>4299</Words>
  <Characters>24507</Characters>
  <Application>Microsoft Office Word</Application>
  <DocSecurity>0</DocSecurity>
  <Lines>204</Lines>
  <Paragraphs>57</Paragraphs>
  <ScaleCrop>false</ScaleCrop>
  <Company/>
  <LinksUpToDate>false</LinksUpToDate>
  <CharactersWithSpaces>28749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2012-10-16T08:07:00Z</dcterms:modified>
</cp:coreProperties>
</file>